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D7" w:rsidRDefault="00655FE2" w:rsidP="00655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FE2">
        <w:rPr>
          <w:rFonts w:ascii="Times New Roman" w:hAnsi="Times New Roman" w:cs="Times New Roman"/>
          <w:b/>
          <w:sz w:val="28"/>
          <w:szCs w:val="28"/>
        </w:rPr>
        <w:t>Основные положения учетной политики в областном автономном учреждении социального обслуживания «Холмский комплексный центр социального обслуживания населения»</w:t>
      </w:r>
    </w:p>
    <w:p w:rsidR="00655FE2" w:rsidRDefault="00655FE2" w:rsidP="00C80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E2">
        <w:rPr>
          <w:rFonts w:ascii="Times New Roman" w:hAnsi="Times New Roman" w:cs="Times New Roman"/>
          <w:sz w:val="28"/>
          <w:szCs w:val="28"/>
        </w:rPr>
        <w:tab/>
        <w:t xml:space="preserve">Учетная политика </w:t>
      </w:r>
      <w:r>
        <w:rPr>
          <w:rFonts w:ascii="Times New Roman" w:hAnsi="Times New Roman" w:cs="Times New Roman"/>
          <w:sz w:val="28"/>
          <w:szCs w:val="28"/>
        </w:rPr>
        <w:t>утверждена приказом руководителя от 29.12.2017 №80 «Об утверждении Положения об учетной</w:t>
      </w:r>
      <w:r w:rsidRPr="00655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Pr="00655FE2">
        <w:rPr>
          <w:rFonts w:ascii="Times New Roman" w:hAnsi="Times New Roman" w:cs="Times New Roman"/>
          <w:sz w:val="28"/>
          <w:szCs w:val="28"/>
        </w:rPr>
        <w:t>в областном автономном учреждении социального обслуживания «Холмский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, приказом от 29.12.2018 №93 «О внесении изменений в учетную политику</w:t>
      </w:r>
      <w:r w:rsidR="00B87BE9" w:rsidRPr="00B87BE9">
        <w:rPr>
          <w:rFonts w:ascii="Times New Roman" w:hAnsi="Times New Roman" w:cs="Times New Roman"/>
          <w:sz w:val="28"/>
          <w:szCs w:val="28"/>
        </w:rPr>
        <w:t xml:space="preserve"> </w:t>
      </w:r>
      <w:r w:rsidR="00B87BE9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B87BE9" w:rsidRPr="00655FE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B87BE9">
        <w:rPr>
          <w:rFonts w:ascii="Times New Roman" w:hAnsi="Times New Roman" w:cs="Times New Roman"/>
          <w:sz w:val="28"/>
          <w:szCs w:val="28"/>
        </w:rPr>
        <w:t>го учреждения</w:t>
      </w:r>
      <w:r w:rsidR="00B87BE9" w:rsidRPr="00655FE2">
        <w:rPr>
          <w:rFonts w:ascii="Times New Roman" w:hAnsi="Times New Roman" w:cs="Times New Roman"/>
          <w:sz w:val="28"/>
          <w:szCs w:val="28"/>
        </w:rPr>
        <w:t xml:space="preserve"> социального обслуживания «Холмский комплексный центр социального обслуживания населения</w:t>
      </w:r>
      <w:r w:rsidR="00B87BE9">
        <w:rPr>
          <w:rFonts w:ascii="Times New Roman" w:hAnsi="Times New Roman" w:cs="Times New Roman"/>
          <w:sz w:val="28"/>
          <w:szCs w:val="28"/>
        </w:rPr>
        <w:t>».</w:t>
      </w:r>
    </w:p>
    <w:p w:rsidR="00C80B87" w:rsidRDefault="00BF4AA0" w:rsidP="00BF4A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87BE9" w:rsidRPr="00C80B87">
        <w:rPr>
          <w:rFonts w:ascii="Times New Roman" w:eastAsia="Times New Roman" w:hAnsi="Times New Roman" w:cs="Times New Roman"/>
          <w:sz w:val="28"/>
          <w:szCs w:val="28"/>
        </w:rPr>
        <w:t xml:space="preserve">Учетная политика </w:t>
      </w:r>
      <w:r w:rsidR="00C80B87">
        <w:rPr>
          <w:rFonts w:ascii="Times New Roman" w:eastAsia="Times New Roman" w:hAnsi="Times New Roman" w:cs="Times New Roman"/>
          <w:sz w:val="28"/>
          <w:szCs w:val="28"/>
        </w:rPr>
        <w:t>ОАУСО «Холмский КЦ»  осуществляется в с</w:t>
      </w:r>
      <w:r w:rsidR="00B87BE9" w:rsidRPr="00C80B87">
        <w:rPr>
          <w:rFonts w:ascii="Times New Roman" w:eastAsia="Times New Roman" w:hAnsi="Times New Roman" w:cs="Times New Roman"/>
          <w:sz w:val="28"/>
          <w:szCs w:val="28"/>
        </w:rPr>
        <w:t>оответствии с: Бюджетным кодексом Российской Федерации;</w:t>
      </w:r>
    </w:p>
    <w:p w:rsidR="00C80B87" w:rsidRDefault="00B87BE9" w:rsidP="00BF4A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87">
        <w:rPr>
          <w:rFonts w:ascii="Times New Roman" w:eastAsia="Times New Roman" w:hAnsi="Times New Roman" w:cs="Times New Roman"/>
          <w:sz w:val="28"/>
          <w:szCs w:val="28"/>
        </w:rPr>
        <w:t xml:space="preserve"> Налоговым кодексом Российской Федерации;</w:t>
      </w:r>
    </w:p>
    <w:p w:rsidR="00B87BE9" w:rsidRDefault="00C80B87" w:rsidP="00BF4A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BE9" w:rsidRPr="00C80B87">
        <w:rPr>
          <w:rFonts w:ascii="Times New Roman" w:eastAsia="Times New Roman" w:hAnsi="Times New Roman" w:cs="Times New Roman"/>
          <w:sz w:val="28"/>
          <w:szCs w:val="28"/>
        </w:rPr>
        <w:t>Трудовым кодексом Российской Федерации;</w:t>
      </w:r>
    </w:p>
    <w:p w:rsidR="00C80B87" w:rsidRPr="00C80B87" w:rsidRDefault="00C80B87" w:rsidP="00BF4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B87">
        <w:rPr>
          <w:rFonts w:ascii="Times New Roman" w:hAnsi="Times New Roman" w:cs="Times New Roman"/>
          <w:sz w:val="28"/>
          <w:szCs w:val="28"/>
        </w:rPr>
        <w:t>Федеральным законом от 03.11.2006 №174-ФЗ «Об автономных учреждениях»</w:t>
      </w:r>
    </w:p>
    <w:p w:rsidR="00B87BE9" w:rsidRPr="00C80B87" w:rsidRDefault="00B87BE9" w:rsidP="00BF4AA0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C80B8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C80B87">
        <w:rPr>
          <w:rFonts w:ascii="Times New Roman" w:eastAsia="Times New Roman" w:hAnsi="Times New Roman" w:cs="Times New Roman"/>
          <w:color w:val="0000FF"/>
          <w:sz w:val="32"/>
          <w:szCs w:val="28"/>
        </w:rPr>
        <w:t xml:space="preserve"> </w:t>
      </w:r>
      <w:r w:rsidRPr="00C80B87">
        <w:rPr>
          <w:rFonts w:ascii="Times New Roman" w:eastAsia="Times New Roman" w:hAnsi="Times New Roman" w:cs="Times New Roman"/>
          <w:color w:val="000000"/>
          <w:sz w:val="28"/>
          <w:szCs w:val="28"/>
        </w:rPr>
        <w:t>от 6 декабря 2011 г. N 402-ФЗ "О бухгалтерском учете" (далее</w:t>
      </w:r>
      <w:r w:rsidRPr="00C80B8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C80B8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80B8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C80B8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N 402-ФЗ);</w:t>
      </w:r>
    </w:p>
    <w:p w:rsidR="00B87BE9" w:rsidRPr="00C80B87" w:rsidRDefault="00C80B87" w:rsidP="00BF4AA0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C80B8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7BE9" w:rsidRPr="00C80B87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="00B87BE9" w:rsidRPr="00C80B8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B87BE9" w:rsidRPr="00C80B8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Российской Федерации от 24 декабря 2007 г. N 922 "Об</w:t>
      </w:r>
      <w:r w:rsidR="00B87BE9" w:rsidRPr="00C80B8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B87BE9" w:rsidRPr="00C80B8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 порядка исчисления средней заработной платы" (далее - постановление Правительства Российской Федерации N 922);</w:t>
      </w:r>
    </w:p>
    <w:p w:rsidR="00C80B87" w:rsidRDefault="00C80B87" w:rsidP="00BF4AA0">
      <w:pPr>
        <w:tabs>
          <w:tab w:val="left" w:pos="1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8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 января 2002 г. N 1 "О Классификации основных средств, включаемых в амортизационные группы" с последующими изменениями;</w:t>
      </w:r>
    </w:p>
    <w:p w:rsidR="00D549F1" w:rsidRDefault="00D549F1" w:rsidP="00BF4AA0">
      <w:pPr>
        <w:tabs>
          <w:tab w:val="left" w:pos="1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казани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 Банка России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 марта 2014 г. N 3210-</w:t>
      </w:r>
      <w:proofErr w:type="gramStart"/>
      <w:r w:rsidRPr="003D2429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3D2429">
        <w:rPr>
          <w:rFonts w:ascii="Times New Roman" w:eastAsia="Times New Roman" w:hAnsi="Times New Roman" w:cs="Times New Roman"/>
          <w:sz w:val="28"/>
          <w:szCs w:val="28"/>
        </w:rPr>
        <w:t>далее - Порядок ведения кассовых операций)</w:t>
      </w:r>
    </w:p>
    <w:p w:rsidR="00C80B87" w:rsidRDefault="00C80B87" w:rsidP="00BF4AA0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87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Министерства финансов Российской Федерации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 и дополнениями (далее соответственно - Инструкция N 157н, приказ Минфина России N 157н);</w:t>
      </w:r>
    </w:p>
    <w:p w:rsidR="00C80B87" w:rsidRPr="00C80B87" w:rsidRDefault="00C80B87" w:rsidP="00BF4AA0">
      <w:pPr>
        <w:jc w:val="both"/>
        <w:rPr>
          <w:rFonts w:ascii="Times New Roman" w:hAnsi="Times New Roman" w:cs="Times New Roman"/>
          <w:sz w:val="28"/>
          <w:szCs w:val="28"/>
        </w:rPr>
      </w:pPr>
      <w:r w:rsidRPr="00C80B87">
        <w:rPr>
          <w:rFonts w:ascii="Times New Roman" w:hAnsi="Times New Roman" w:cs="Times New Roman"/>
          <w:sz w:val="28"/>
          <w:szCs w:val="28"/>
        </w:rPr>
        <w:t xml:space="preserve">Приказом Минфина РФ от 23.12.2010 №183н «Об утверждении Плана счетов бухгалтерского учета автономных учреждений </w:t>
      </w:r>
      <w:r>
        <w:rPr>
          <w:rFonts w:ascii="Times New Roman" w:hAnsi="Times New Roman" w:cs="Times New Roman"/>
          <w:sz w:val="28"/>
          <w:szCs w:val="28"/>
        </w:rPr>
        <w:t>и Инструкции по его применению»;</w:t>
      </w:r>
    </w:p>
    <w:p w:rsidR="00C80B87" w:rsidRDefault="00C80B87" w:rsidP="00BF4AA0">
      <w:pPr>
        <w:jc w:val="both"/>
        <w:rPr>
          <w:rFonts w:ascii="Times New Roman" w:hAnsi="Times New Roman" w:cs="Times New Roman"/>
          <w:sz w:val="28"/>
          <w:szCs w:val="28"/>
        </w:rPr>
      </w:pPr>
      <w:r w:rsidRPr="00C80B87">
        <w:rPr>
          <w:rFonts w:ascii="Times New Roman" w:hAnsi="Times New Roman" w:cs="Times New Roman"/>
          <w:sz w:val="28"/>
          <w:szCs w:val="28"/>
        </w:rPr>
        <w:t>Приказом Минфина РФ от 25.03.2011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BF4AA0">
        <w:rPr>
          <w:rFonts w:ascii="Times New Roman" w:hAnsi="Times New Roman" w:cs="Times New Roman"/>
          <w:sz w:val="28"/>
          <w:szCs w:val="28"/>
        </w:rPr>
        <w:t>;</w:t>
      </w:r>
    </w:p>
    <w:p w:rsidR="00BF4AA0" w:rsidRPr="00BF4AA0" w:rsidRDefault="00BF4AA0" w:rsidP="00BF4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AA0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Российской Федерации от 30.03.2015г.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фондами,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государственными</w:t>
      </w:r>
      <w:r w:rsidR="005A2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>(муниципальными)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ab/>
        <w:t>учреждениями,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>етодических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>указаний по их применению" (далее – 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>Минфина России N 52н);</w:t>
      </w:r>
    </w:p>
    <w:p w:rsidR="00BF4AA0" w:rsidRPr="00BF4AA0" w:rsidRDefault="00BF4AA0" w:rsidP="00BF4AA0">
      <w:pPr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 w:rsidRPr="00BF4AA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13.10.2008г. № 749 «Об особенностях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>работников в служебные командировки»</w:t>
      </w:r>
      <w:r w:rsidR="005A2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>(с изменениями);</w:t>
      </w:r>
    </w:p>
    <w:p w:rsidR="00BF4AA0" w:rsidRDefault="00BF4AA0" w:rsidP="00BF4AA0">
      <w:pPr>
        <w:spacing w:line="234" w:lineRule="auto"/>
        <w:ind w:left="1" w:right="80"/>
        <w:rPr>
          <w:rFonts w:ascii="Times New Roman" w:eastAsia="Times New Roman" w:hAnsi="Times New Roman" w:cs="Times New Roman"/>
          <w:sz w:val="28"/>
          <w:szCs w:val="28"/>
        </w:rPr>
      </w:pPr>
      <w:r w:rsidRPr="00BF4AA0">
        <w:rPr>
          <w:rFonts w:ascii="Times New Roman" w:eastAsia="Times New Roman" w:hAnsi="Times New Roman" w:cs="Times New Roman"/>
          <w:sz w:val="28"/>
          <w:szCs w:val="28"/>
        </w:rPr>
        <w:t>иными нормативными правовыми актами Российской Ф</w:t>
      </w:r>
      <w:r w:rsidR="00963A91">
        <w:rPr>
          <w:rFonts w:ascii="Times New Roman" w:eastAsia="Times New Roman" w:hAnsi="Times New Roman" w:cs="Times New Roman"/>
          <w:sz w:val="28"/>
          <w:szCs w:val="28"/>
        </w:rPr>
        <w:t>едерации и настоящим Положением;</w:t>
      </w:r>
    </w:p>
    <w:p w:rsidR="00963A91" w:rsidRPr="00C80B87" w:rsidRDefault="00963A91" w:rsidP="00963A91">
      <w:pPr>
        <w:tabs>
          <w:tab w:val="left" w:pos="1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87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Российской Федерации от 31 декабря 2016г. №257н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B87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C80B87">
        <w:rPr>
          <w:rFonts w:ascii="Times New Roman" w:eastAsia="Times New Roman" w:hAnsi="Times New Roman" w:cs="Times New Roman"/>
          <w:sz w:val="28"/>
          <w:szCs w:val="28"/>
        </w:rPr>
        <w:t>дерального стандарта «Основные средства»;</w:t>
      </w:r>
    </w:p>
    <w:p w:rsidR="00963A91" w:rsidRDefault="00963A91" w:rsidP="00963A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Минфина России от 31.12.2016 № 256н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Концептуальные основы бухгалтерского учёта и отчетности организаций государственного сектора» Приказ Минфина России от 31.12.2016 № 258н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«Аренда»</w:t>
      </w:r>
      <w:proofErr w:type="gramStart"/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26B" w:rsidRPr="006E126B" w:rsidRDefault="00963A91" w:rsidP="0034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Минфина России от 31.12.2016 № 259н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«Обесценение активов»; Приказ Минфина России от 31.12.2016 № 260н «Представление бухгалтерской (финансовой) отчётности»</w:t>
      </w:r>
      <w:proofErr w:type="gramStart"/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E126B" w:rsidRPr="006E126B" w:rsidRDefault="006E126B" w:rsidP="0034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30 декабря 2017 г. N 274н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федерального стандарта бухгалтерского учета для организаций государственного сектора "Учетная политика, оценочные значения и ошибки"</w:t>
      </w:r>
    </w:p>
    <w:p w:rsidR="006E126B" w:rsidRPr="006E126B" w:rsidRDefault="006E126B" w:rsidP="0034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27.02.2018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«Доходы» </w:t>
      </w:r>
    </w:p>
    <w:p w:rsidR="006E126B" w:rsidRPr="006E126B" w:rsidRDefault="006E126B" w:rsidP="0034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30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2.2017 № 257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«События после отчетной даты» – Приказ Минфина России от 30.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«Отчет о движении денежных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редств» </w:t>
      </w:r>
    </w:p>
    <w:p w:rsidR="006E126B" w:rsidRPr="006E126B" w:rsidRDefault="006E126B" w:rsidP="0034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3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0.05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963A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«Влияние изменений курсов иностранных валют» </w:t>
      </w:r>
    </w:p>
    <w:p w:rsidR="00BF4AA0" w:rsidRDefault="00BF4AA0" w:rsidP="0034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 xml:space="preserve">. Бюджетный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бухгалтерский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 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ОАУСО «Холмский КЦ»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 xml:space="preserve">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бухгалтер</w:t>
      </w:r>
      <w:r w:rsidRPr="00BF4A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713" w:rsidRPr="005A2713" w:rsidRDefault="005A2713" w:rsidP="00963A91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5A2713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учета</w:t>
      </w:r>
      <w:r w:rsidRPr="005A271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автоматизированный способ ведения бюджетного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бухгалтерского </w:t>
      </w:r>
      <w:r w:rsidRPr="005A2713">
        <w:rPr>
          <w:rFonts w:ascii="Times New Roman" w:eastAsia="Times New Roman" w:hAnsi="Times New Roman" w:cs="Times New Roman"/>
          <w:sz w:val="28"/>
          <w:szCs w:val="28"/>
        </w:rPr>
        <w:t xml:space="preserve">учета. </w:t>
      </w:r>
      <w:r w:rsidR="00963A9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63A91" w:rsidRPr="005A2713">
        <w:rPr>
          <w:rFonts w:ascii="Times New Roman" w:eastAsia="Times New Roman" w:hAnsi="Times New Roman" w:cs="Times New Roman"/>
          <w:sz w:val="28"/>
          <w:szCs w:val="28"/>
        </w:rPr>
        <w:t>юджетн</w:t>
      </w:r>
      <w:r w:rsidR="00963A91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63A91" w:rsidRPr="005A2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A91">
        <w:rPr>
          <w:rFonts w:ascii="Times New Roman" w:eastAsia="Times New Roman" w:hAnsi="Times New Roman" w:cs="Times New Roman"/>
          <w:sz w:val="28"/>
          <w:szCs w:val="28"/>
        </w:rPr>
        <w:t>и бухгалтерский</w:t>
      </w:r>
      <w:r w:rsidRPr="005A2713">
        <w:rPr>
          <w:rFonts w:ascii="Times New Roman" w:eastAsia="Times New Roman" w:hAnsi="Times New Roman" w:cs="Times New Roman"/>
          <w:sz w:val="28"/>
          <w:szCs w:val="28"/>
        </w:rPr>
        <w:t xml:space="preserve"> учет ведется по журнально-ордерной форме с применением средств комплексной автоматизации. Данные синтетического и аналитического учета формируются в базах данных используемых программных комплексов Бюджетный учет - «1:С. Бухгалтерия государственного учреждения», которые выводятся на бумажные носители - выходные формы документов, включая журналы операций, карточки, ведомости, отчеты.</w:t>
      </w:r>
    </w:p>
    <w:p w:rsidR="005A2713" w:rsidRPr="005A2713" w:rsidRDefault="00963A91" w:rsidP="00963A91">
      <w:pPr>
        <w:spacing w:after="0" w:line="360" w:lineRule="auto"/>
        <w:ind w:left="1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 xml:space="preserve">. Каждый факт хозяйственной жизни подлежит оформлению первичным учетным документом с использованием </w:t>
      </w:r>
      <w:r w:rsidR="005A2713" w:rsidRPr="00963A91">
        <w:rPr>
          <w:rFonts w:ascii="Times New Roman" w:eastAsia="Calibri" w:hAnsi="Times New Roman" w:cs="Times New Roman"/>
          <w:sz w:val="28"/>
          <w:szCs w:val="28"/>
        </w:rPr>
        <w:t>форм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</w:t>
      </w:r>
      <w:r w:rsidR="005A2713" w:rsidRPr="00963A91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5A2713" w:rsidRPr="00963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>Минфина России от 30.03.2015г. N 52н.</w:t>
      </w:r>
    </w:p>
    <w:p w:rsidR="005A2713" w:rsidRPr="005A2713" w:rsidRDefault="00963A91" w:rsidP="00963A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>. При оформлении хозяйственных операций,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 xml:space="preserve">для которых </w:t>
      </w:r>
      <w:r w:rsidR="005A2713" w:rsidRPr="00963A91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5A2713" w:rsidRPr="00963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>Минфина России N52н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713" w:rsidRPr="005A2713">
        <w:rPr>
          <w:rFonts w:ascii="Times New Roman" w:hAnsi="Times New Roman" w:cs="Times New Roman"/>
          <w:sz w:val="28"/>
          <w:szCs w:val="28"/>
        </w:rPr>
        <w:tab/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ab/>
        <w:t>учетных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ab/>
        <w:t>документов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>редусмотрены,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ab/>
        <w:t>применяются</w:t>
      </w:r>
      <w:r w:rsidR="005A2713" w:rsidRPr="005A2713">
        <w:rPr>
          <w:rFonts w:ascii="Times New Roman" w:hAnsi="Times New Roman" w:cs="Times New Roman"/>
          <w:sz w:val="28"/>
          <w:szCs w:val="28"/>
        </w:rPr>
        <w:tab/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>унифицированные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t xml:space="preserve">формы первичных </w:t>
      </w:r>
      <w:r w:rsidR="005A2713" w:rsidRPr="005A2713">
        <w:rPr>
          <w:rFonts w:ascii="Times New Roman" w:eastAsia="Times New Roman" w:hAnsi="Times New Roman" w:cs="Times New Roman"/>
          <w:sz w:val="28"/>
          <w:szCs w:val="28"/>
        </w:rPr>
        <w:lastRenderedPageBreak/>
        <w:t>учетных документов, утвержденные соответствующими постановлениями Федеральной службы государственной статистики.</w:t>
      </w:r>
    </w:p>
    <w:p w:rsidR="00452333" w:rsidRPr="00452333" w:rsidRDefault="00452333" w:rsidP="00452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2333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452333">
        <w:rPr>
          <w:rFonts w:ascii="Times New Roman" w:hAnsi="Times New Roman" w:cs="Times New Roman"/>
          <w:sz w:val="28"/>
          <w:szCs w:val="28"/>
        </w:rPr>
        <w:t xml:space="preserve"> 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 условиях комплексной автоматизации бюджетного учета формирование регистров бюджетного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бухгалтерского 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>учета осуществляется в форме электронного документа и на бумажном носителе.</w:t>
      </w:r>
    </w:p>
    <w:p w:rsidR="00452333" w:rsidRDefault="00452333" w:rsidP="004523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>1.7. Все документы, имеющие отношение к финансово-хозяйственной деятельности, формируются в дела с учетом сроков хранения документов согласно Номенклатуре дел. Организация хранения дел и сдача их в архив возлагается на ответственных лиц, назначенных соответствующим приказом, по ведению номенклатурного дела.</w:t>
      </w:r>
    </w:p>
    <w:p w:rsidR="00452333" w:rsidRPr="00452333" w:rsidRDefault="00452333" w:rsidP="00452333">
      <w:pPr>
        <w:spacing w:after="0" w:line="36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 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>Порядок формирования структуры рабочего плана счетов устанавливается в соответствии с Инструкцией № 157</w:t>
      </w:r>
      <w:r>
        <w:rPr>
          <w:rFonts w:ascii="Times New Roman" w:eastAsia="Times New Roman" w:hAnsi="Times New Roman" w:cs="Times New Roman"/>
          <w:sz w:val="28"/>
          <w:szCs w:val="28"/>
        </w:rPr>
        <w:t>н и Инструкцией №183н.</w:t>
      </w:r>
    </w:p>
    <w:p w:rsidR="00452333" w:rsidRPr="00452333" w:rsidRDefault="00452333" w:rsidP="00452333">
      <w:pPr>
        <w:tabs>
          <w:tab w:val="left" w:pos="1057"/>
        </w:tabs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52333">
        <w:rPr>
          <w:rFonts w:ascii="Times New Roman" w:hAnsi="Times New Roman" w:cs="Times New Roman"/>
          <w:sz w:val="28"/>
          <w:szCs w:val="28"/>
        </w:rPr>
        <w:t xml:space="preserve"> 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Минфина России от 31.12.2016г. №257н «Об утверждении федерального стандарта бухгалтерского учета для организаций государственного сектора» «Основные средства» и Инструкцией № 157н, нефинансовые активы детализируются по следующим группам: основные средства, </w:t>
      </w:r>
      <w:proofErr w:type="spellStart"/>
      <w:r w:rsidRPr="00452333">
        <w:rPr>
          <w:rFonts w:ascii="Times New Roman" w:eastAsia="Times New Roman" w:hAnsi="Times New Roman" w:cs="Times New Roman"/>
          <w:sz w:val="28"/>
          <w:szCs w:val="28"/>
        </w:rPr>
        <w:t>непроизведенные</w:t>
      </w:r>
      <w:proofErr w:type="spellEnd"/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 активы и материальные запасы.</w:t>
      </w:r>
    </w:p>
    <w:p w:rsidR="00452333" w:rsidRPr="00452333" w:rsidRDefault="003D2429" w:rsidP="00452333">
      <w:pPr>
        <w:spacing w:after="0" w:line="36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1.9.1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 Учет основных средств</w:t>
      </w:r>
    </w:p>
    <w:p w:rsidR="00452333" w:rsidRPr="00452333" w:rsidRDefault="003D2429" w:rsidP="00452333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9.2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 xml:space="preserve">. Первоначальная стоимость </w:t>
      </w:r>
      <w:proofErr w:type="gramStart"/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="00452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 xml:space="preserve">основных средств, </w:t>
      </w:r>
      <w:r w:rsidR="00452333"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приобретенного в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333"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результате обменных операций 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или созданного субъектом учета определяется</w:t>
      </w:r>
      <w:proofErr w:type="gramEnd"/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 xml:space="preserve"> в сумме</w:t>
      </w:r>
      <w:r w:rsidR="00452333"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фактически произведенных капитальных вложений, включающих:</w:t>
      </w:r>
    </w:p>
    <w:p w:rsidR="00452333" w:rsidRPr="00452333" w:rsidRDefault="00452333" w:rsidP="00452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183515</wp:posOffset>
            </wp:positionV>
            <wp:extent cx="140335" cy="1873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333" w:rsidRPr="00452333" w:rsidRDefault="00452333" w:rsidP="00452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2333" w:rsidRPr="00452333" w:rsidRDefault="00452333" w:rsidP="00452333">
      <w:pPr>
        <w:spacing w:after="0" w:line="360" w:lineRule="auto"/>
        <w:ind w:left="721"/>
        <w:rPr>
          <w:rFonts w:ascii="Times New Roman" w:hAnsi="Times New Roman" w:cs="Times New Roman"/>
          <w:sz w:val="28"/>
          <w:szCs w:val="28"/>
        </w:rPr>
      </w:pPr>
      <w:proofErr w:type="gramStart"/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цена приобретения (в т.ч. таможенные пошлины, </w:t>
      </w:r>
      <w:proofErr w:type="spellStart"/>
      <w:r w:rsidRPr="00452333">
        <w:rPr>
          <w:rFonts w:ascii="Times New Roman" w:eastAsia="Times New Roman" w:hAnsi="Times New Roman" w:cs="Times New Roman"/>
          <w:sz w:val="28"/>
          <w:szCs w:val="28"/>
        </w:rPr>
        <w:t>невозмещенные</w:t>
      </w:r>
      <w:proofErr w:type="spellEnd"/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 суммы НДС, за</w:t>
      </w:r>
      <w:proofErr w:type="gramEnd"/>
    </w:p>
    <w:p w:rsidR="00452333" w:rsidRPr="00452333" w:rsidRDefault="00452333" w:rsidP="00452333">
      <w:pPr>
        <w:spacing w:after="0" w:line="360" w:lineRule="auto"/>
        <w:ind w:left="721"/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>вычетом полученных скидок);</w:t>
      </w:r>
    </w:p>
    <w:p w:rsidR="00452333" w:rsidRPr="00452333" w:rsidRDefault="00452333" w:rsidP="00452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3810</wp:posOffset>
            </wp:positionV>
            <wp:extent cx="140335" cy="3733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333" w:rsidRPr="00452333" w:rsidRDefault="00452333" w:rsidP="00452333">
      <w:pPr>
        <w:spacing w:after="0" w:line="360" w:lineRule="auto"/>
        <w:ind w:left="721"/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lastRenderedPageBreak/>
        <w:t>любые фактические затраты на приобретение, создание объекта основных средств;</w:t>
      </w:r>
    </w:p>
    <w:p w:rsidR="00452333" w:rsidRPr="00452333" w:rsidRDefault="00452333" w:rsidP="00452333">
      <w:pPr>
        <w:spacing w:after="0" w:line="360" w:lineRule="auto"/>
        <w:ind w:left="721" w:right="20"/>
        <w:jc w:val="both"/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>суммы затрат на демонтаж и вывод объекта основных средств из эксплуатации, на восстановление участка, на котором объект расположен, известные на момент принятия к учету.</w:t>
      </w:r>
    </w:p>
    <w:p w:rsidR="00452333" w:rsidRPr="00452333" w:rsidRDefault="00452333" w:rsidP="00452333">
      <w:pPr>
        <w:numPr>
          <w:ilvl w:val="0"/>
          <w:numId w:val="4"/>
        </w:numPr>
        <w:tabs>
          <w:tab w:val="left" w:pos="221"/>
        </w:tabs>
        <w:spacing w:after="0" w:line="360" w:lineRule="auto"/>
        <w:ind w:left="221" w:hanging="221"/>
        <w:rPr>
          <w:rFonts w:ascii="Times New Roman" w:eastAsia="Times New Roman" w:hAnsi="Times New Roman" w:cs="Times New Roman"/>
          <w:sz w:val="28"/>
          <w:szCs w:val="28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>первоначальную стоимость не включаются:</w:t>
      </w:r>
    </w:p>
    <w:p w:rsidR="00452333" w:rsidRPr="00452333" w:rsidRDefault="00452333" w:rsidP="00452333">
      <w:pPr>
        <w:numPr>
          <w:ilvl w:val="1"/>
          <w:numId w:val="4"/>
        </w:numPr>
        <w:tabs>
          <w:tab w:val="left" w:pos="721"/>
        </w:tabs>
        <w:spacing w:after="0" w:line="360" w:lineRule="auto"/>
        <w:ind w:left="721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>затраты на открытие новых производств;</w:t>
      </w:r>
    </w:p>
    <w:p w:rsidR="00452333" w:rsidRPr="00452333" w:rsidRDefault="00452333" w:rsidP="00452333">
      <w:pPr>
        <w:numPr>
          <w:ilvl w:val="1"/>
          <w:numId w:val="4"/>
        </w:numPr>
        <w:tabs>
          <w:tab w:val="left" w:pos="721"/>
        </w:tabs>
        <w:spacing w:after="0" w:line="360" w:lineRule="auto"/>
        <w:ind w:left="721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>затраты на внедрение новых продуктов или услуг;</w:t>
      </w:r>
    </w:p>
    <w:p w:rsidR="00452333" w:rsidRPr="00452333" w:rsidRDefault="00452333" w:rsidP="00452333">
      <w:pPr>
        <w:numPr>
          <w:ilvl w:val="1"/>
          <w:numId w:val="4"/>
        </w:numPr>
        <w:tabs>
          <w:tab w:val="left" w:pos="721"/>
        </w:tabs>
        <w:spacing w:after="0" w:line="360" w:lineRule="auto"/>
        <w:ind w:left="721" w:right="20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>затраты на ведение деятельности на новом месте или с новой группой потребителей услуг;</w:t>
      </w:r>
    </w:p>
    <w:p w:rsidR="00452333" w:rsidRPr="00452333" w:rsidRDefault="00452333" w:rsidP="00452333">
      <w:pPr>
        <w:numPr>
          <w:ilvl w:val="1"/>
          <w:numId w:val="4"/>
        </w:numPr>
        <w:tabs>
          <w:tab w:val="left" w:pos="721"/>
        </w:tabs>
        <w:spacing w:after="0" w:line="360" w:lineRule="auto"/>
        <w:ind w:left="721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>операционные убытки;</w:t>
      </w:r>
    </w:p>
    <w:p w:rsidR="00452333" w:rsidRPr="00452333" w:rsidRDefault="00452333" w:rsidP="00452333">
      <w:pPr>
        <w:numPr>
          <w:ilvl w:val="1"/>
          <w:numId w:val="4"/>
        </w:numPr>
        <w:tabs>
          <w:tab w:val="left" w:pos="721"/>
        </w:tabs>
        <w:spacing w:after="0" w:line="360" w:lineRule="auto"/>
        <w:ind w:left="721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>административные, общехозяйственные и прочие накладные расходы;</w:t>
      </w:r>
    </w:p>
    <w:p w:rsidR="00452333" w:rsidRPr="00452333" w:rsidRDefault="00452333" w:rsidP="00452333">
      <w:pPr>
        <w:numPr>
          <w:ilvl w:val="1"/>
          <w:numId w:val="4"/>
        </w:numPr>
        <w:tabs>
          <w:tab w:val="left" w:pos="721"/>
        </w:tabs>
        <w:spacing w:after="0" w:line="360" w:lineRule="auto"/>
        <w:ind w:left="721" w:hanging="361"/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>затраты  на  выполнение  операций,  сопутствующих  строительству или  созданию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>объекта.</w:t>
      </w:r>
    </w:p>
    <w:p w:rsidR="00452333" w:rsidRPr="00452333" w:rsidRDefault="00452333" w:rsidP="00452333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Первоначальная стоимость объекта основных средств, </w:t>
      </w:r>
      <w:r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приобретенного в результате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необменной операции 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справедливая стоимость 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>на дату приобретения. Если</w:t>
      </w:r>
      <w:r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приобретенный объект не может быть оценен по справедливой стоимости, его первоначальная стоимость равна </w:t>
      </w:r>
      <w:r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остаточной стоимости переданного взамен актива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. Объекты, </w:t>
      </w:r>
      <w:r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полученные от учредителя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, других организаций государственного сектора признаются в оценке исходя из стоимости, отраженной </w:t>
      </w:r>
      <w:r w:rsidRPr="00452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передаточных документах</w:t>
      </w:r>
      <w:r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333" w:rsidRPr="00452333" w:rsidRDefault="003D2429" w:rsidP="00452333">
      <w:pPr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9.3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 Учет основных средств ведется в рублях и копейках.</w:t>
      </w:r>
    </w:p>
    <w:p w:rsidR="00452333" w:rsidRPr="00452333" w:rsidRDefault="003D2429" w:rsidP="00452333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 Для организации учета и обеспечения сохранности объектов основных средств каждому объекту основных средств (кроме объектов стоимостью до 10000 рублей 00 копеек включительно за единицу, а также библиотечного фонда, драгоценностей и ювелирных изделий независимо от стоимости), присваивается уникальный инвентарный порядковый номер.</w:t>
      </w:r>
    </w:p>
    <w:p w:rsidR="00452333" w:rsidRPr="00452333" w:rsidRDefault="00452333" w:rsidP="00452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2333" w:rsidRPr="00452333" w:rsidRDefault="003D2429" w:rsidP="003D2429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 xml:space="preserve">. Аналитический учет основных средств ведется в инвентарной карточке учета основных средств (код формы по ОКУД 0504031). Инвентарные 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lastRenderedPageBreak/>
        <w:t>карточки распечатываются при вводе ОС в эксплуатацию и при списании. Учет основных средств осуществляется по материально-ответственным лицам.</w:t>
      </w:r>
    </w:p>
    <w:p w:rsidR="00452333" w:rsidRPr="00452333" w:rsidRDefault="003D2429" w:rsidP="003D2429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 xml:space="preserve">. Основные средства стоимостью на дату принятия к бюджетному учету до 10000 рублей 00 копеек включительно, за исключением объектов недвижимого имущества и библиотечного фонда, введенные в эксплуатацию, подлежат учету по наименованиям и количеству, материально-ответственным лицам на </w:t>
      </w:r>
      <w:proofErr w:type="spellStart"/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 xml:space="preserve"> счете 21 "Основные средства, стоимостью до 10000 рублей 00 копеек включительно, в эксплуатации".</w:t>
      </w:r>
    </w:p>
    <w:p w:rsidR="00452333" w:rsidRPr="00452333" w:rsidRDefault="00452333" w:rsidP="003D2429">
      <w:pPr>
        <w:spacing w:after="0" w:line="360" w:lineRule="auto"/>
        <w:ind w:left="1" w:right="20"/>
        <w:jc w:val="both"/>
        <w:rPr>
          <w:rFonts w:ascii="Times New Roman" w:hAnsi="Times New Roman" w:cs="Times New Roman"/>
          <w:sz w:val="28"/>
          <w:szCs w:val="28"/>
        </w:rPr>
      </w:pPr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Имущество, полученное в безвозмездное пользование, учитывается на </w:t>
      </w:r>
      <w:proofErr w:type="spellStart"/>
      <w:r w:rsidRPr="00452333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452333">
        <w:rPr>
          <w:rFonts w:ascii="Times New Roman" w:eastAsia="Times New Roman" w:hAnsi="Times New Roman" w:cs="Times New Roman"/>
          <w:sz w:val="28"/>
          <w:szCs w:val="28"/>
        </w:rPr>
        <w:t xml:space="preserve"> счете 01 "Имущество, полученное в пользование".</w:t>
      </w:r>
    </w:p>
    <w:p w:rsidR="00452333" w:rsidRPr="00452333" w:rsidRDefault="003D2429" w:rsidP="003D2429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9.7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 xml:space="preserve">. Срок полезного использования - период, в течение которого предусматривается использование актива в тех целях, ради которых он был приобретен, создан или получен. Сроки полезного использования объектов основных средств (либо основных групп объектов основных средств) определяются на основании Классификации основных </w:t>
      </w:r>
      <w:proofErr w:type="spellStart"/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gramStart"/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рок</w:t>
      </w:r>
      <w:proofErr w:type="spellEnd"/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 xml:space="preserve"> полезного использования объекта основных средств, не названного в Классификации основных средств, включаемых в амортизационные группы, определяются при принятии к учету данного объекта комиссией, состав которой утверждается заведующей. В этом случае определение срока полезного использования объекта основных сре</w:t>
      </w:r>
      <w:proofErr w:type="gramStart"/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оизводится исходя из ожидаемого срока использования объекта в соответствии с техническими условиями или рекомендациями организаций-изготовителей.</w:t>
      </w:r>
    </w:p>
    <w:p w:rsidR="00452333" w:rsidRPr="00452333" w:rsidRDefault="003D2429" w:rsidP="003D2429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52333" w:rsidRPr="00452333">
        <w:rPr>
          <w:rFonts w:ascii="Times New Roman" w:eastAsia="Times New Roman" w:hAnsi="Times New Roman" w:cs="Times New Roman"/>
          <w:sz w:val="28"/>
          <w:szCs w:val="28"/>
        </w:rPr>
        <w:t>. Начисление амортизации производится линейным способом.</w:t>
      </w:r>
    </w:p>
    <w:p w:rsidR="00B87BE9" w:rsidRPr="003D2429" w:rsidRDefault="00452333" w:rsidP="003D2429">
      <w:pPr>
        <w:numPr>
          <w:ilvl w:val="0"/>
          <w:numId w:val="5"/>
        </w:numPr>
        <w:tabs>
          <w:tab w:val="left" w:pos="258"/>
        </w:tabs>
        <w:spacing w:after="0" w:line="360" w:lineRule="auto"/>
        <w:ind w:right="20" w:hanging="1"/>
        <w:jc w:val="both"/>
        <w:rPr>
          <w:rFonts w:ascii="Times New Roman" w:hAnsi="Times New Roman" w:cs="Times New Roman"/>
          <w:sz w:val="28"/>
          <w:szCs w:val="28"/>
        </w:rPr>
      </w:pPr>
      <w:r w:rsidRPr="003D2429">
        <w:rPr>
          <w:rFonts w:ascii="Times New Roman" w:eastAsia="Times New Roman" w:hAnsi="Times New Roman" w:cs="Times New Roman"/>
          <w:sz w:val="28"/>
          <w:szCs w:val="28"/>
        </w:rPr>
        <w:t>течение отчетного года амортизация начисляется ежемесячно в размере 1/12 годовой суммы</w:t>
      </w:r>
      <w:proofErr w:type="gramStart"/>
      <w:r w:rsidRPr="003D24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D2429" w:rsidRPr="003D242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течение срока полезного использования объекта основных средств начисление амортизации не приостанавливается, кроме случаев перевода его на консервацию на срок более трех месяцев, а также в период восстановления объекта, продолжительность которого превышает 12 месяцев.</w:t>
      </w:r>
      <w:r w:rsidR="003D2429" w:rsidRPr="003D2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На объекты основных средств, стоимостью свыше 10 000 руб. до 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lastRenderedPageBreak/>
        <w:t>100 000 руб. включительно, амортизация начисляется в размере 100% балансовой стоимости при выдаче объекта в эксплуатацию</w:t>
      </w:r>
    </w:p>
    <w:p w:rsidR="003D2429" w:rsidRPr="003D2429" w:rsidRDefault="003D2429" w:rsidP="003D24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. Учет материальных запасов</w:t>
      </w:r>
    </w:p>
    <w:p w:rsidR="003D2429" w:rsidRDefault="003D2429" w:rsidP="003D24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.1. К материальным запасам относятся: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предметы со сроком полезного использования не более 12 месяцев, независимо от их стоимости; предметы со сроком полезного использования более 12 месяцев, но не относящиеся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основным средствам в соответствии с классификацией ОКОФ.</w:t>
      </w:r>
    </w:p>
    <w:p w:rsidR="003D2429" w:rsidRPr="003D2429" w:rsidRDefault="003D2429" w:rsidP="003D24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1.10.2. 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Материальные запасы принимаются к бюджетному учету по фактической стоимости.</w:t>
      </w:r>
    </w:p>
    <w:p w:rsidR="003D2429" w:rsidRPr="003D2429" w:rsidRDefault="003D2429" w:rsidP="003D24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.3. Стоимость материальных запасов списывается на расходы, при их передаче в эксплуатацию по средней стоимости.</w:t>
      </w:r>
    </w:p>
    <w:p w:rsidR="003D2429" w:rsidRPr="003D2429" w:rsidRDefault="003D2429" w:rsidP="003D2429">
      <w:pPr>
        <w:tabs>
          <w:tab w:val="left" w:pos="1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429">
        <w:rPr>
          <w:rFonts w:ascii="Times New Roman" w:hAnsi="Times New Roman" w:cs="Times New Roman"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Учет </w:t>
      </w:r>
      <w:proofErr w:type="spellStart"/>
      <w:r w:rsidRPr="003D2429">
        <w:rPr>
          <w:rFonts w:ascii="Times New Roman" w:eastAsia="Times New Roman" w:hAnsi="Times New Roman" w:cs="Times New Roman"/>
          <w:sz w:val="28"/>
          <w:szCs w:val="28"/>
        </w:rPr>
        <w:t>непроизведенных</w:t>
      </w:r>
      <w:proofErr w:type="spellEnd"/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 активов.</w:t>
      </w:r>
    </w:p>
    <w:p w:rsidR="003D2429" w:rsidRDefault="003D2429" w:rsidP="003D2429">
      <w:pPr>
        <w:spacing w:after="0" w:line="36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11.1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Pr="003D2429">
        <w:rPr>
          <w:rFonts w:ascii="Times New Roman" w:eastAsia="Times New Roman" w:hAnsi="Times New Roman" w:cs="Times New Roman"/>
          <w:sz w:val="28"/>
          <w:szCs w:val="28"/>
        </w:rPr>
        <w:t>непроизведенным</w:t>
      </w:r>
      <w:proofErr w:type="spellEnd"/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 активам относятся объекты </w:t>
      </w:r>
      <w:proofErr w:type="spellStart"/>
      <w:r w:rsidRPr="003D2429">
        <w:rPr>
          <w:rFonts w:ascii="Times New Roman" w:eastAsia="Times New Roman" w:hAnsi="Times New Roman" w:cs="Times New Roman"/>
          <w:sz w:val="28"/>
          <w:szCs w:val="28"/>
        </w:rPr>
        <w:t>непроизведенных</w:t>
      </w:r>
      <w:proofErr w:type="spellEnd"/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 активов в виде земельных участков.</w:t>
      </w:r>
    </w:p>
    <w:p w:rsidR="003D2429" w:rsidRDefault="003D2429" w:rsidP="003D2429">
      <w:pPr>
        <w:spacing w:after="0" w:line="36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1.11.2.  </w:t>
      </w:r>
      <w:proofErr w:type="spellStart"/>
      <w:r w:rsidRPr="003D2429">
        <w:rPr>
          <w:rFonts w:ascii="Times New Roman" w:eastAsia="Times New Roman" w:hAnsi="Times New Roman" w:cs="Times New Roman"/>
          <w:sz w:val="28"/>
          <w:szCs w:val="28"/>
        </w:rPr>
        <w:t>Непроизведенные</w:t>
      </w:r>
      <w:proofErr w:type="spellEnd"/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 активы принимаются к бюджетному учету по стоимости, указанной в кадастровой справке о кадастровой стоимости, по состоянию на 01 января года принятия к учету. Переоценка земельного участка производится в случае изменения его кадастровой стоимости на конец отчетного года.</w:t>
      </w:r>
    </w:p>
    <w:p w:rsidR="003D2429" w:rsidRPr="003D2429" w:rsidRDefault="003D2429" w:rsidP="003D2429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ОАУСО «Холмский КЦ»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операции с денежными средствами на счетах учреждения (в российских рублях), открытых в УФК, с наличными и безналичными денежными средствами.</w:t>
      </w:r>
    </w:p>
    <w:p w:rsidR="003D2429" w:rsidRDefault="003D2429" w:rsidP="003D2429">
      <w:pPr>
        <w:spacing w:after="0" w:line="36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 Учет операций по движению безналичных денежных средств учреждений ведется на основании первичных документов, приложенных к выпискам по соответствующим счетам.</w:t>
      </w:r>
    </w:p>
    <w:p w:rsidR="003D2429" w:rsidRDefault="003D2429" w:rsidP="003D2429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 Учет кассовых операций осуществляется согласно указанию Банка России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 марта 2014 г. N 3210-</w:t>
      </w:r>
      <w:proofErr w:type="gramStart"/>
      <w:r w:rsidRPr="003D2429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3D2429">
        <w:rPr>
          <w:rFonts w:ascii="Times New Roman" w:eastAsia="Times New Roman" w:hAnsi="Times New Roman" w:cs="Times New Roman"/>
          <w:sz w:val="28"/>
          <w:szCs w:val="28"/>
        </w:rPr>
        <w:t xml:space="preserve">далее - Порядок ведения кассовых операций). Для ведения </w:t>
      </w:r>
      <w:r w:rsidRPr="003D2429">
        <w:rPr>
          <w:rFonts w:ascii="Times New Roman" w:eastAsia="Times New Roman" w:hAnsi="Times New Roman" w:cs="Times New Roman"/>
          <w:sz w:val="28"/>
          <w:szCs w:val="28"/>
        </w:rPr>
        <w:lastRenderedPageBreak/>
        <w:t>кассовых операций учреждением устанавливается лимит остатка наличных денег в кассе (максимально допустимую сумму наличных денег, которая может храниться в месте проведения кассовых операций), который утверждается приказом.</w:t>
      </w:r>
    </w:p>
    <w:p w:rsidR="00AB65F5" w:rsidRDefault="00AB65F5" w:rsidP="00D549F1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1.12.3. При </w:t>
      </w:r>
      <w:r>
        <w:rPr>
          <w:rFonts w:ascii="Times New Roman" w:hAnsi="Times New Roman" w:cs="Times New Roman"/>
          <w:sz w:val="28"/>
          <w:szCs w:val="28"/>
        </w:rPr>
        <w:t>заполнении</w:t>
      </w:r>
      <w:r w:rsidRPr="00AB65F5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5F5">
        <w:rPr>
          <w:rFonts w:ascii="Times New Roman" w:hAnsi="Times New Roman" w:cs="Times New Roman"/>
          <w:sz w:val="28"/>
          <w:szCs w:val="28"/>
        </w:rPr>
        <w:t xml:space="preserve"> о движении денежных средств</w:t>
      </w:r>
      <w:r w:rsidRPr="00AB65F5">
        <w:t xml:space="preserve"> </w:t>
      </w:r>
      <w:r>
        <w:rPr>
          <w:sz w:val="28"/>
          <w:szCs w:val="28"/>
        </w:rPr>
        <w:t>в</w:t>
      </w:r>
      <w:r w:rsidRPr="00AB65F5">
        <w:rPr>
          <w:rFonts w:ascii="Times New Roman" w:hAnsi="Times New Roman" w:cs="Times New Roman"/>
          <w:sz w:val="28"/>
          <w:szCs w:val="28"/>
        </w:rPr>
        <w:t>еличина денежных средств определяется прямым методом и рассчитывается как разница между всеми денежными притоками учреждения от всех в</w:t>
      </w:r>
      <w:r>
        <w:rPr>
          <w:rFonts w:ascii="Times New Roman" w:hAnsi="Times New Roman" w:cs="Times New Roman"/>
          <w:sz w:val="28"/>
          <w:szCs w:val="28"/>
        </w:rPr>
        <w:t>идов деятельности и их оттоками.</w:t>
      </w:r>
      <w:r w:rsidRPr="00AB65F5">
        <w:rPr>
          <w:rFonts w:ascii="Times New Roman" w:hAnsi="Times New Roman" w:cs="Times New Roman"/>
          <w:sz w:val="28"/>
          <w:szCs w:val="28"/>
        </w:rPr>
        <w:t> </w:t>
      </w:r>
      <w:r w:rsidRPr="00AB65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B65F5">
        <w:rPr>
          <w:rFonts w:ascii="Times New Roman" w:hAnsi="Times New Roman" w:cs="Times New Roman"/>
          <w:sz w:val="28"/>
          <w:szCs w:val="28"/>
        </w:rPr>
        <w:t>Классификация денежных потоков производится в соответствии с пунктом 7 СГС "Отчет о движении денежных средств" по правилам, установленным в пунктах 8–10 СГС "Отчет о движении денежных средств"»</w:t>
      </w:r>
      <w:proofErr w:type="gramEnd"/>
    </w:p>
    <w:p w:rsidR="00D549F1" w:rsidRPr="00D549F1" w:rsidRDefault="00D549F1" w:rsidP="00D549F1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Pr="00D549F1">
        <w:rPr>
          <w:rFonts w:eastAsia="Times New Roman"/>
          <w:sz w:val="24"/>
          <w:szCs w:val="24"/>
        </w:rPr>
        <w:t xml:space="preserve"> 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>В соответствии с Трудовым кодексом Российской Федерации, постановлениями Правительства Российской Федерации № 922 денежное содержание работника рассчитывается исходя из фактически отработанного времени. Расчет производится с использованием ПП «1С». Расчетный листок выдается один раз в месяц при произведении окончательного расчета по итогам работы за месяц.</w:t>
      </w:r>
    </w:p>
    <w:p w:rsidR="00D549F1" w:rsidRPr="00D549F1" w:rsidRDefault="00D549F1" w:rsidP="00D549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49F1" w:rsidRDefault="00D549F1" w:rsidP="00D549F1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 Операции по начислению денежного содержания, денежного поощрения сотрудников, пособий по временной нетрудоспособности, по беременности и родам, вознаграждений лицам по договорам гражданско-правового характера, компенсационных выплат работникам, находящимся в отпуске по уходу за ребенком до достижения им 3-летнего возраста и иным выплатам, а также операции по начислению и перечислению сумм налогов и платежей в бюджет, отражаются в Журнале операций расчетов по</w:t>
      </w:r>
      <w:proofErr w:type="gramEnd"/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 оплате труда. </w:t>
      </w:r>
    </w:p>
    <w:p w:rsidR="00D549F1" w:rsidRPr="00D549F1" w:rsidRDefault="00D549F1" w:rsidP="00D549F1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 Суммы налога на доходы физических лиц и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 начисляются один раз в месяц в сроки выплат денежного содержания.</w:t>
      </w:r>
    </w:p>
    <w:p w:rsidR="00D549F1" w:rsidRPr="00D549F1" w:rsidRDefault="00D549F1" w:rsidP="00D549F1">
      <w:pPr>
        <w:spacing w:after="0" w:line="36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13.4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>. Выплата денежного содержания, денежного поощрения и иных выплат производится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>денежном выражении на счета карт, открываемых ПАО "Сбербанк России" сотрудникам Учреждения по их письменному заявлению.</w:t>
      </w:r>
    </w:p>
    <w:p w:rsidR="00D549F1" w:rsidRDefault="00D549F1" w:rsidP="00D549F1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операций с денежными средствами, перечисляемыми на карты сотрудников, записи по начислениям и выплатам отражаются в Расчетной ведомости. Выплата денежного содержания за первую половину месяца производится </w:t>
      </w:r>
      <w:r w:rsidRPr="00D549F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9F1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 текущего месяца, за вторую половину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9F1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текущим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месяца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>. Начисление и выплата вознаграждений лицам по договорам гражданско-правового характера осуществляется в соответствии с условиями договора и на основании документа, подтверждающего выполнение сторонами обязательств.</w:t>
      </w:r>
    </w:p>
    <w:p w:rsidR="00D549F1" w:rsidRDefault="00D549F1" w:rsidP="00D549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. В составе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ОАУСО «Холмский КЦ»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>: субсидия на выполнение государственног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муниципального) задания, 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B7D">
        <w:rPr>
          <w:rFonts w:ascii="Times New Roman" w:eastAsia="Times New Roman" w:hAnsi="Times New Roman" w:cs="Times New Roman"/>
          <w:sz w:val="28"/>
          <w:szCs w:val="28"/>
        </w:rPr>
        <w:t xml:space="preserve">субсидия на иные цели, </w:t>
      </w:r>
      <w:r>
        <w:rPr>
          <w:rFonts w:ascii="Times New Roman" w:eastAsia="Times New Roman" w:hAnsi="Times New Roman" w:cs="Times New Roman"/>
          <w:sz w:val="28"/>
          <w:szCs w:val="28"/>
        </w:rPr>
        <w:t>плата за оказанные социальные услуги</w:t>
      </w:r>
      <w:r w:rsidRPr="00D549F1">
        <w:rPr>
          <w:rFonts w:ascii="Times New Roman" w:eastAsia="Times New Roman" w:hAnsi="Times New Roman" w:cs="Times New Roman"/>
          <w:sz w:val="28"/>
          <w:szCs w:val="28"/>
        </w:rPr>
        <w:t xml:space="preserve"> оказываемые Учреждением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>, добровольные пожертвования</w:t>
      </w:r>
      <w:r w:rsidR="00D45B7D">
        <w:rPr>
          <w:rFonts w:ascii="Times New Roman" w:eastAsia="Times New Roman" w:hAnsi="Times New Roman" w:cs="Times New Roman"/>
          <w:sz w:val="28"/>
          <w:szCs w:val="28"/>
        </w:rPr>
        <w:t xml:space="preserve"> от юридических и физических лиц, средства грантов.</w:t>
      </w:r>
    </w:p>
    <w:p w:rsidR="00AB65F5" w:rsidRDefault="00AB65F5" w:rsidP="00D54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1.14.1</w:t>
      </w:r>
      <w:r w:rsidRPr="00AB65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65F5">
        <w:rPr>
          <w:rFonts w:ascii="Times New Roman" w:hAnsi="Times New Roman" w:cs="Times New Roman"/>
          <w:sz w:val="28"/>
          <w:szCs w:val="28"/>
        </w:rPr>
        <w:t xml:space="preserve"> Доходы от оказания платных услуг по долгосрочным договорам (абонементам) признаются в учете в составе доходов будущих периодов в сумме, единовременно полученной за предстоящие услуги. Доходы будущих периодов признаются в текущих доходах равномерно в последний день каждого месяца в разрезе каждого договора (абонемента). Основание для бухгалтерской записи – бухгалтерская справка (ф. 0504833)</w:t>
      </w:r>
    </w:p>
    <w:p w:rsidR="00D45B7D" w:rsidRDefault="00D45B7D" w:rsidP="00D549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1.15.</w:t>
      </w:r>
      <w:r w:rsidRPr="00D45B7D">
        <w:rPr>
          <w:rFonts w:eastAsia="Times New Roman"/>
          <w:sz w:val="24"/>
          <w:szCs w:val="24"/>
        </w:rPr>
        <w:t xml:space="preserve"> </w:t>
      </w:r>
      <w:r w:rsidRPr="00D45B7D">
        <w:rPr>
          <w:rFonts w:ascii="Times New Roman" w:eastAsia="Times New Roman" w:hAnsi="Times New Roman" w:cs="Times New Roman"/>
          <w:sz w:val="28"/>
          <w:szCs w:val="28"/>
        </w:rPr>
        <w:t>Для учета операций по формированию себестоимости готовой продукции учреждением используется счет 109.00 «Затраты на изготовление готовой продукции, выполнение работ, услуг» (согласно инструкции №157н).</w:t>
      </w:r>
    </w:p>
    <w:p w:rsidR="00D45B7D" w:rsidRDefault="00D45B7D" w:rsidP="00D45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 w:rsidRPr="00D45B7D">
        <w:rPr>
          <w:rFonts w:ascii="Times New Roman" w:eastAsia="Times New Roman" w:hAnsi="Times New Roman" w:cs="Times New Roman"/>
          <w:sz w:val="28"/>
          <w:szCs w:val="28"/>
        </w:rPr>
        <w:t>Расходы, понесенные при оплате услуг за счет полученных целевых субсидий (КФО «5»), списываются в дебет счета 401.20 «Расходы текущего финансового года».</w:t>
      </w:r>
    </w:p>
    <w:p w:rsidR="00D45B7D" w:rsidRDefault="00D45B7D" w:rsidP="00D45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1.17. Учет добровольных пожертвований осуществляется обособленно в соответствии с Положением об учете </w:t>
      </w:r>
      <w:r w:rsidR="006E126B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добровольных п</w:t>
      </w:r>
      <w:r w:rsidR="006E126B">
        <w:rPr>
          <w:rFonts w:ascii="Times New Roman" w:eastAsia="Times New Roman" w:hAnsi="Times New Roman" w:cs="Times New Roman"/>
          <w:sz w:val="28"/>
          <w:szCs w:val="28"/>
        </w:rPr>
        <w:t>ожертвований</w:t>
      </w:r>
      <w:r>
        <w:rPr>
          <w:rFonts w:ascii="Times New Roman" w:eastAsia="Times New Roman" w:hAnsi="Times New Roman" w:cs="Times New Roman"/>
          <w:sz w:val="28"/>
          <w:szCs w:val="28"/>
        </w:rPr>
        <w:t>, в регистрах бухгалтерского учета, для списания расходов</w:t>
      </w:r>
      <w:r w:rsidR="006E126B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45B7D">
        <w:rPr>
          <w:rFonts w:ascii="Times New Roman" w:eastAsia="Times New Roman" w:hAnsi="Times New Roman" w:cs="Times New Roman"/>
          <w:sz w:val="28"/>
          <w:szCs w:val="28"/>
        </w:rPr>
        <w:t>дебет счета 401.20 «Расходы текущего финансового года»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26B" w:rsidRDefault="006E126B" w:rsidP="00D45B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1.18. Учет грантов осуществляется обособленно в соответствии с Порядком расходования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антов, в регистрах бухгалтерского учета, для списания расходов используется   </w:t>
      </w:r>
      <w:r w:rsidRPr="00D45B7D">
        <w:rPr>
          <w:rFonts w:ascii="Times New Roman" w:eastAsia="Times New Roman" w:hAnsi="Times New Roman" w:cs="Times New Roman"/>
          <w:sz w:val="28"/>
          <w:szCs w:val="28"/>
        </w:rPr>
        <w:t>дебет счета 401.20 «Расходы текущего финансового года»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0E33" w:rsidRPr="00340E33" w:rsidRDefault="00340E33" w:rsidP="00B5327B">
      <w:pPr>
        <w:spacing w:after="0" w:line="360" w:lineRule="auto"/>
        <w:ind w:left="1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1.19. 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>Основными элементами системы внутреннего контроля в учреждении является наблюдение за его работой и ее проверка, выявление отклонений и нарушений, принятие мер по их предупреждению и устранению. Система внутреннего финансового контроля включает надзор и проверку:</w:t>
      </w:r>
    </w:p>
    <w:p w:rsidR="00340E33" w:rsidRPr="00340E33" w:rsidRDefault="00340E33" w:rsidP="00340E33">
      <w:pPr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Соблюдения требований бюджетного законодательства;</w:t>
      </w:r>
    </w:p>
    <w:p w:rsidR="00340E33" w:rsidRPr="00340E33" w:rsidRDefault="00340E33" w:rsidP="00340E33">
      <w:pPr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Точности и полноты составления документов и регистров бухгалтерского учета;</w:t>
      </w:r>
    </w:p>
    <w:p w:rsidR="00340E33" w:rsidRPr="00340E33" w:rsidRDefault="00340E33" w:rsidP="00340E33">
      <w:pPr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Предотвращения возможных ошибок и искажений в учете и отчетности;</w:t>
      </w:r>
    </w:p>
    <w:p w:rsidR="00340E33" w:rsidRPr="00340E33" w:rsidRDefault="00340E33" w:rsidP="00340E33">
      <w:pPr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>Исполнения приказов и распоряжений руководителя учреждения;</w:t>
      </w:r>
    </w:p>
    <w:p w:rsidR="00340E33" w:rsidRPr="00340E33" w:rsidRDefault="00340E33" w:rsidP="00340E33">
      <w:pPr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имущества учреждения;</w:t>
      </w:r>
    </w:p>
    <w:p w:rsidR="00340E33" w:rsidRPr="00340E33" w:rsidRDefault="00340E33" w:rsidP="00340E33">
      <w:pPr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Формальная и арифметическая проверка документов;</w:t>
      </w:r>
    </w:p>
    <w:p w:rsidR="00340E33" w:rsidRPr="00340E33" w:rsidRDefault="00340E33" w:rsidP="00340E33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>Оценка законности и обоснованности хозяйственных операций по данным</w:t>
      </w:r>
      <w:r w:rsidR="00B53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>корреспонденции счетов бухгалтерского учета;</w:t>
      </w:r>
    </w:p>
    <w:p w:rsidR="00340E33" w:rsidRPr="00340E33" w:rsidRDefault="00340E33" w:rsidP="00340E33">
      <w:pPr>
        <w:spacing w:after="0" w:line="360" w:lineRule="auto"/>
        <w:ind w:left="1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Балансовые увязки движения товарно-материальных ценностей с их отражением в финансово – бухгалтерской документации;</w:t>
      </w:r>
    </w:p>
    <w:p w:rsidR="00340E33" w:rsidRPr="00340E33" w:rsidRDefault="00340E33" w:rsidP="00340E33">
      <w:pPr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Основными задачами внутреннего контроля являются:</w:t>
      </w:r>
    </w:p>
    <w:p w:rsidR="00340E33" w:rsidRPr="00340E33" w:rsidRDefault="00340E33" w:rsidP="00340E33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:rsidR="00340E33" w:rsidRPr="00340E33" w:rsidRDefault="00340E33" w:rsidP="00340E33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соответствия осуществляемых операций регламентам, полномочиям сотрудников;</w:t>
      </w:r>
    </w:p>
    <w:p w:rsidR="00340E33" w:rsidRPr="00340E33" w:rsidRDefault="00340E33" w:rsidP="00340E33">
      <w:pPr>
        <w:spacing w:after="0" w:line="360" w:lineRule="auto"/>
        <w:ind w:left="1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соблюдение установленных технологических процессов и операций при осуществлении функциональной деятельности;</w:t>
      </w:r>
    </w:p>
    <w:p w:rsidR="00340E33" w:rsidRPr="00340E33" w:rsidRDefault="00340E33" w:rsidP="00340E33">
      <w:pPr>
        <w:spacing w:after="0" w:line="360" w:lineRule="auto"/>
        <w:ind w:left="1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 xml:space="preserve"> анализ системы внутреннего контроля учреждения, позволяющий выявить существенные аспекты, влияющие на ее эффективность.</w:t>
      </w:r>
    </w:p>
    <w:p w:rsidR="00340E33" w:rsidRPr="00340E33" w:rsidRDefault="00340E33" w:rsidP="00340E33">
      <w:pPr>
        <w:spacing w:after="0" w:line="360" w:lineRule="auto"/>
        <w:ind w:left="1" w:right="20"/>
        <w:jc w:val="both"/>
        <w:rPr>
          <w:rFonts w:ascii="Times New Roman" w:hAnsi="Times New Roman" w:cs="Times New Roman"/>
          <w:sz w:val="28"/>
          <w:szCs w:val="28"/>
        </w:rPr>
      </w:pPr>
      <w:r w:rsidRPr="00340E33">
        <w:rPr>
          <w:rFonts w:ascii="Times New Roman" w:eastAsia="Times New Roman" w:hAnsi="Times New Roman" w:cs="Times New Roman"/>
          <w:sz w:val="28"/>
          <w:szCs w:val="28"/>
        </w:rPr>
        <w:t>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руководителя учреждения, а также перед составлением бухгалтерской отчетности.</w:t>
      </w:r>
    </w:p>
    <w:p w:rsidR="00340E33" w:rsidRDefault="00340E33" w:rsidP="0034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40E33">
        <w:rPr>
          <w:rFonts w:ascii="Times New Roman" w:eastAsia="Times New Roman" w:hAnsi="Times New Roman" w:cs="Times New Roman"/>
          <w:sz w:val="28"/>
          <w:szCs w:val="28"/>
        </w:rPr>
        <w:t>ходе проведения внеплановой проверки осуществляется контроль по вопросам, в отношении которых есть информация о возможных нарушениях</w:t>
      </w:r>
      <w:r w:rsidR="00B53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657" w:rsidRPr="00A05657" w:rsidRDefault="00A05657" w:rsidP="00A0565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1.19.1 </w:t>
      </w:r>
      <w:r w:rsidRPr="00A05657">
        <w:rPr>
          <w:sz w:val="28"/>
          <w:szCs w:val="28"/>
        </w:rPr>
        <w:t>Дополнительная  функция комиссии по поступлению и выбытию активов – она определяет при инвентаризации  сомнительную задолженность</w:t>
      </w:r>
      <w:r>
        <w:rPr>
          <w:sz w:val="28"/>
          <w:szCs w:val="28"/>
        </w:rPr>
        <w:t>.</w:t>
      </w:r>
      <w:r w:rsidRPr="00A05657">
        <w:t xml:space="preserve"> </w:t>
      </w:r>
      <w:r w:rsidRPr="00A05657">
        <w:rPr>
          <w:sz w:val="28"/>
          <w:szCs w:val="28"/>
        </w:rPr>
        <w:t>Задолженность признается сомнительной при условии, что должник нарушил сроки исполнения обязательства, и наличии одного из следующих обстоятельств:</w:t>
      </w:r>
      <w:r w:rsidRPr="00A05657">
        <w:rPr>
          <w:sz w:val="28"/>
          <w:szCs w:val="28"/>
        </w:rPr>
        <w:br/>
        <w:t>– отсутствие обеспечения долга залогом, задатком, поручительством, банковской гарантией и т. п.;</w:t>
      </w:r>
      <w:r w:rsidRPr="00A05657">
        <w:rPr>
          <w:sz w:val="28"/>
          <w:szCs w:val="28"/>
        </w:rPr>
        <w:br/>
        <w:t>– значительные финансовые затруднения должника, ставшие известными из СМИ или других источников;</w:t>
      </w:r>
      <w:r w:rsidRPr="00A05657">
        <w:rPr>
          <w:sz w:val="28"/>
          <w:szCs w:val="28"/>
        </w:rPr>
        <w:br/>
        <w:t>– возбуждение процедуры банкротства в отношении должника.</w:t>
      </w:r>
    </w:p>
    <w:p w:rsidR="00A05657" w:rsidRPr="00A05657" w:rsidRDefault="00A05657" w:rsidP="00A0565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5657">
        <w:rPr>
          <w:sz w:val="28"/>
          <w:szCs w:val="28"/>
        </w:rPr>
        <w:t>Не признается сомнительной:</w:t>
      </w:r>
      <w:r w:rsidRPr="00A05657">
        <w:rPr>
          <w:sz w:val="28"/>
          <w:szCs w:val="28"/>
        </w:rPr>
        <w:br/>
        <w:t>– обязательства должников, просрочка исполнения которых не превышает 30 дней;</w:t>
      </w:r>
      <w:r w:rsidRPr="00A05657">
        <w:rPr>
          <w:sz w:val="28"/>
          <w:szCs w:val="28"/>
        </w:rPr>
        <w:br/>
        <w:t>– задолженность заказчиков по договорам оказания услуг или выполнения работ, по которым срок действия договора еще не истек.</w:t>
      </w:r>
    </w:p>
    <w:p w:rsidR="00A05657" w:rsidRPr="00A05657" w:rsidRDefault="00A05657" w:rsidP="00A0565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5657">
        <w:rPr>
          <w:sz w:val="28"/>
          <w:szCs w:val="28"/>
        </w:rPr>
        <w:t>С целью квалификации задолженности сомнительной каждый долг индивидуально оценивается на предмет наличия обстоятельств»</w:t>
      </w:r>
    </w:p>
    <w:p w:rsidR="00A05657" w:rsidRPr="00A05657" w:rsidRDefault="00A05657" w:rsidP="00340E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26B" w:rsidRDefault="00B5327B" w:rsidP="00B53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1.20. При определении в</w:t>
      </w:r>
      <w:r w:rsidRPr="00B5327B">
        <w:rPr>
          <w:rFonts w:ascii="Times New Roman" w:hAnsi="Times New Roman" w:cs="Times New Roman"/>
          <w:sz w:val="28"/>
          <w:szCs w:val="28"/>
        </w:rPr>
        <w:t>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65F5">
        <w:rPr>
          <w:rFonts w:ascii="Times New Roman" w:hAnsi="Times New Roman" w:cs="Times New Roman"/>
          <w:sz w:val="28"/>
          <w:szCs w:val="28"/>
        </w:rPr>
        <w:t xml:space="preserve"> резервов</w:t>
      </w:r>
      <w:r w:rsidR="00AB65F5" w:rsidRPr="00AB65F5">
        <w:rPr>
          <w:rFonts w:ascii="Times New Roman" w:hAnsi="Times New Roman" w:cs="Times New Roman"/>
        </w:rPr>
        <w:t xml:space="preserve"> </w:t>
      </w:r>
      <w:r w:rsidR="00AB65F5" w:rsidRPr="00AB65F5">
        <w:rPr>
          <w:rFonts w:ascii="Times New Roman" w:hAnsi="Times New Roman" w:cs="Times New Roman"/>
          <w:sz w:val="28"/>
          <w:szCs w:val="28"/>
        </w:rPr>
        <w:t>на оплату отпусков используется следующий порядок:</w:t>
      </w:r>
      <w:r w:rsidR="00AB65F5" w:rsidRPr="00AB65F5">
        <w:rPr>
          <w:rFonts w:ascii="Times New Roman" w:hAnsi="Times New Roman" w:cs="Times New Roman"/>
          <w:sz w:val="28"/>
          <w:szCs w:val="28"/>
        </w:rPr>
        <w:br/>
      </w:r>
      <w:r w:rsidR="00AB65F5" w:rsidRPr="00AB65F5">
        <w:rPr>
          <w:rFonts w:ascii="Times New Roman" w:hAnsi="Times New Roman" w:cs="Times New Roman"/>
          <w:sz w:val="28"/>
          <w:szCs w:val="28"/>
        </w:rPr>
        <w:lastRenderedPageBreak/>
        <w:t>– оценочное обязательство в виде резерва на оплату отпусков определяется на дату составления отчетности;</w:t>
      </w:r>
      <w:r w:rsidR="00AB65F5" w:rsidRPr="00AB65F5">
        <w:rPr>
          <w:rFonts w:ascii="Times New Roman" w:hAnsi="Times New Roman" w:cs="Times New Roman"/>
          <w:sz w:val="28"/>
          <w:szCs w:val="28"/>
        </w:rPr>
        <w:br/>
        <w:t>– сумма резерва рассчитывается как произведение количества не использованных всеми сотрудниками организации дней отпусков на отчетную дату (по данным кадрового учета) на средний дневной заработок по организации за последние шесть месяцев с учетом начисленных взносов на обязательное страхование.</w:t>
      </w:r>
      <w:r w:rsidR="00AB65F5" w:rsidRPr="00555A71">
        <w:rPr>
          <w:rFonts w:ascii="Times New Roman" w:hAnsi="Times New Roman" w:cs="Times New Roman"/>
        </w:rPr>
        <w:br/>
      </w:r>
      <w:r w:rsidR="00AB65F5" w:rsidRPr="00AB65F5">
        <w:rPr>
          <w:rFonts w:ascii="Times New Roman" w:hAnsi="Times New Roman" w:cs="Times New Roman"/>
          <w:sz w:val="28"/>
          <w:szCs w:val="28"/>
        </w:rPr>
        <w:t>1.21.</w:t>
      </w:r>
      <w:r w:rsidR="00AB65F5">
        <w:t xml:space="preserve"> </w:t>
      </w:r>
      <w:r w:rsidR="00AB65F5" w:rsidRPr="00AB65F5">
        <w:rPr>
          <w:rFonts w:ascii="Times New Roman" w:hAnsi="Times New Roman" w:cs="Times New Roman"/>
          <w:sz w:val="28"/>
          <w:szCs w:val="28"/>
        </w:rPr>
        <w:t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</w:t>
      </w:r>
      <w:r w:rsidR="00AB65F5">
        <w:rPr>
          <w:rFonts w:ascii="Times New Roman" w:hAnsi="Times New Roman" w:cs="Times New Roman"/>
          <w:sz w:val="28"/>
          <w:szCs w:val="28"/>
        </w:rPr>
        <w:t>.</w:t>
      </w:r>
    </w:p>
    <w:p w:rsidR="00AB65F5" w:rsidRDefault="00AB65F5" w:rsidP="00B53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1.22. </w:t>
      </w:r>
      <w:r w:rsidRPr="00AB65F5">
        <w:rPr>
          <w:rFonts w:ascii="Times New Roman" w:hAnsi="Times New Roman" w:cs="Times New Roman"/>
          <w:sz w:val="28"/>
          <w:szCs w:val="28"/>
        </w:rPr>
        <w:t>Резерв по сомнительным долгам создается в конце каждого отчетного периода, не позднее последнего дня отчетного периода. Основание для создания резерва – решение комиссии учреждения по поступлению и выбытию активов, оформленное по результатам инвентаризации задолженности на основании документов, подтверждающих сомнительность долга. Величина резерва равна величине выявленной сомнительной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657" w:rsidRPr="00A05657" w:rsidRDefault="00A05657" w:rsidP="00B53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1.23. </w:t>
      </w:r>
      <w:r w:rsidRPr="00A05657">
        <w:rPr>
          <w:rFonts w:ascii="Times New Roman" w:hAnsi="Times New Roman" w:cs="Times New Roman"/>
          <w:sz w:val="28"/>
          <w:szCs w:val="28"/>
        </w:rPr>
        <w:t xml:space="preserve">Квалифицирует событие как </w:t>
      </w:r>
      <w:r>
        <w:rPr>
          <w:rFonts w:ascii="Times New Roman" w:hAnsi="Times New Roman" w:cs="Times New Roman"/>
          <w:sz w:val="28"/>
          <w:szCs w:val="28"/>
        </w:rPr>
        <w:t>событие после отчетной даты</w:t>
      </w:r>
      <w:r w:rsidRPr="00A05657">
        <w:rPr>
          <w:rFonts w:ascii="Times New Roman" w:hAnsi="Times New Roman" w:cs="Times New Roman"/>
          <w:sz w:val="28"/>
          <w:szCs w:val="28"/>
        </w:rPr>
        <w:t xml:space="preserve"> главный бухгалтер на основе своего профессионального суждения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657" w:rsidRPr="00A05657" w:rsidRDefault="00A05657" w:rsidP="00B53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1.23.1. </w:t>
      </w:r>
      <w:r w:rsidRPr="00A05657">
        <w:rPr>
          <w:rFonts w:ascii="Times New Roman" w:hAnsi="Times New Roman" w:cs="Times New Roman"/>
          <w:sz w:val="28"/>
          <w:szCs w:val="28"/>
        </w:rPr>
        <w:t>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средств,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657" w:rsidRDefault="00A05657" w:rsidP="00A0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1.24. </w:t>
      </w:r>
      <w:r w:rsidRPr="00A05657">
        <w:rPr>
          <w:rFonts w:ascii="Times New Roman" w:hAnsi="Times New Roman" w:cs="Times New Roman"/>
          <w:sz w:val="28"/>
          <w:szCs w:val="28"/>
        </w:rPr>
        <w:t>Учреждение публикует основные положения учетной политики на своем официальном сайте путем размещения копий документов учетной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27B" w:rsidRDefault="00B5327B" w:rsidP="00B532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657" w:rsidRDefault="00A05657" w:rsidP="00B532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657" w:rsidRDefault="00A05657" w:rsidP="00B532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657" w:rsidRPr="00B5327B" w:rsidRDefault="00A05657" w:rsidP="00B532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___________________А.В.Пфеффер</w:t>
      </w:r>
      <w:proofErr w:type="spellEnd"/>
    </w:p>
    <w:p w:rsidR="00D45B7D" w:rsidRPr="00D45B7D" w:rsidRDefault="00D45B7D" w:rsidP="00D54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29" w:rsidRDefault="003D2429" w:rsidP="003D2429">
      <w:pPr>
        <w:spacing w:line="16" w:lineRule="exact"/>
        <w:rPr>
          <w:sz w:val="20"/>
          <w:szCs w:val="20"/>
        </w:rPr>
      </w:pPr>
    </w:p>
    <w:p w:rsidR="003D2429" w:rsidRPr="003D2429" w:rsidRDefault="003D2429" w:rsidP="003D2429">
      <w:pPr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</w:p>
    <w:p w:rsidR="003D2429" w:rsidRPr="003D2429" w:rsidRDefault="003D2429" w:rsidP="003D2429">
      <w:pPr>
        <w:tabs>
          <w:tab w:val="left" w:pos="258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sectPr w:rsidR="003D2429" w:rsidRPr="003D2429" w:rsidSect="000A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37D40AF2"/>
    <w:lvl w:ilvl="0" w:tplc="5FA2237E">
      <w:start w:val="1"/>
      <w:numFmt w:val="bullet"/>
      <w:lvlText w:val="и"/>
      <w:lvlJc w:val="left"/>
    </w:lvl>
    <w:lvl w:ilvl="1" w:tplc="E7B80A58">
      <w:numFmt w:val="decimal"/>
      <w:lvlText w:val=""/>
      <w:lvlJc w:val="left"/>
    </w:lvl>
    <w:lvl w:ilvl="2" w:tplc="41EC7634">
      <w:numFmt w:val="decimal"/>
      <w:lvlText w:val=""/>
      <w:lvlJc w:val="left"/>
    </w:lvl>
    <w:lvl w:ilvl="3" w:tplc="09BA8D9C">
      <w:numFmt w:val="decimal"/>
      <w:lvlText w:val=""/>
      <w:lvlJc w:val="left"/>
    </w:lvl>
    <w:lvl w:ilvl="4" w:tplc="44943450">
      <w:numFmt w:val="decimal"/>
      <w:lvlText w:val=""/>
      <w:lvlJc w:val="left"/>
    </w:lvl>
    <w:lvl w:ilvl="5" w:tplc="467EC51A">
      <w:numFmt w:val="decimal"/>
      <w:lvlText w:val=""/>
      <w:lvlJc w:val="left"/>
    </w:lvl>
    <w:lvl w:ilvl="6" w:tplc="EE967502">
      <w:numFmt w:val="decimal"/>
      <w:lvlText w:val=""/>
      <w:lvlJc w:val="left"/>
    </w:lvl>
    <w:lvl w:ilvl="7" w:tplc="2AFC8BA0">
      <w:numFmt w:val="decimal"/>
      <w:lvlText w:val=""/>
      <w:lvlJc w:val="left"/>
    </w:lvl>
    <w:lvl w:ilvl="8" w:tplc="058C1798">
      <w:numFmt w:val="decimal"/>
      <w:lvlText w:val=""/>
      <w:lvlJc w:val="left"/>
    </w:lvl>
  </w:abstractNum>
  <w:abstractNum w:abstractNumId="1">
    <w:nsid w:val="00002213"/>
    <w:multiLevelType w:val="hybridMultilevel"/>
    <w:tmpl w:val="E34088FA"/>
    <w:lvl w:ilvl="0" w:tplc="605404BC">
      <w:start w:val="1"/>
      <w:numFmt w:val="bullet"/>
      <w:lvlText w:val="в"/>
      <w:lvlJc w:val="left"/>
    </w:lvl>
    <w:lvl w:ilvl="1" w:tplc="1598DCD8">
      <w:numFmt w:val="decimal"/>
      <w:lvlText w:val=""/>
      <w:lvlJc w:val="left"/>
    </w:lvl>
    <w:lvl w:ilvl="2" w:tplc="C4184942">
      <w:numFmt w:val="decimal"/>
      <w:lvlText w:val=""/>
      <w:lvlJc w:val="left"/>
    </w:lvl>
    <w:lvl w:ilvl="3" w:tplc="C6BA5BAC">
      <w:numFmt w:val="decimal"/>
      <w:lvlText w:val=""/>
      <w:lvlJc w:val="left"/>
    </w:lvl>
    <w:lvl w:ilvl="4" w:tplc="4B6A6FD4">
      <w:numFmt w:val="decimal"/>
      <w:lvlText w:val=""/>
      <w:lvlJc w:val="left"/>
    </w:lvl>
    <w:lvl w:ilvl="5" w:tplc="9F888FE4">
      <w:numFmt w:val="decimal"/>
      <w:lvlText w:val=""/>
      <w:lvlJc w:val="left"/>
    </w:lvl>
    <w:lvl w:ilvl="6" w:tplc="9C04EFCA">
      <w:numFmt w:val="decimal"/>
      <w:lvlText w:val=""/>
      <w:lvlJc w:val="left"/>
    </w:lvl>
    <w:lvl w:ilvl="7" w:tplc="A3F6B0A0">
      <w:numFmt w:val="decimal"/>
      <w:lvlText w:val=""/>
      <w:lvlJc w:val="left"/>
    </w:lvl>
    <w:lvl w:ilvl="8" w:tplc="5F907964">
      <w:numFmt w:val="decimal"/>
      <w:lvlText w:val=""/>
      <w:lvlJc w:val="left"/>
    </w:lvl>
  </w:abstractNum>
  <w:abstractNum w:abstractNumId="2">
    <w:nsid w:val="000063CB"/>
    <w:multiLevelType w:val="hybridMultilevel"/>
    <w:tmpl w:val="CDD4C96A"/>
    <w:lvl w:ilvl="0" w:tplc="6DE8FDFC">
      <w:start w:val="1"/>
      <w:numFmt w:val="bullet"/>
      <w:lvlText w:val="В"/>
      <w:lvlJc w:val="left"/>
    </w:lvl>
    <w:lvl w:ilvl="1" w:tplc="33F6B398">
      <w:numFmt w:val="decimal"/>
      <w:lvlText w:val=""/>
      <w:lvlJc w:val="left"/>
    </w:lvl>
    <w:lvl w:ilvl="2" w:tplc="653C3BB8">
      <w:numFmt w:val="decimal"/>
      <w:lvlText w:val=""/>
      <w:lvlJc w:val="left"/>
    </w:lvl>
    <w:lvl w:ilvl="3" w:tplc="764EE8CC">
      <w:numFmt w:val="decimal"/>
      <w:lvlText w:val=""/>
      <w:lvlJc w:val="left"/>
    </w:lvl>
    <w:lvl w:ilvl="4" w:tplc="9866F1FE">
      <w:numFmt w:val="decimal"/>
      <w:lvlText w:val=""/>
      <w:lvlJc w:val="left"/>
    </w:lvl>
    <w:lvl w:ilvl="5" w:tplc="3C0E313A">
      <w:numFmt w:val="decimal"/>
      <w:lvlText w:val=""/>
      <w:lvlJc w:val="left"/>
    </w:lvl>
    <w:lvl w:ilvl="6" w:tplc="E49A9064">
      <w:numFmt w:val="decimal"/>
      <w:lvlText w:val=""/>
      <w:lvlJc w:val="left"/>
    </w:lvl>
    <w:lvl w:ilvl="7" w:tplc="E01075D6">
      <w:numFmt w:val="decimal"/>
      <w:lvlText w:val=""/>
      <w:lvlJc w:val="left"/>
    </w:lvl>
    <w:lvl w:ilvl="8" w:tplc="1AA4765A">
      <w:numFmt w:val="decimal"/>
      <w:lvlText w:val=""/>
      <w:lvlJc w:val="left"/>
    </w:lvl>
  </w:abstractNum>
  <w:abstractNum w:abstractNumId="3">
    <w:nsid w:val="00006BFC"/>
    <w:multiLevelType w:val="hybridMultilevel"/>
    <w:tmpl w:val="E6DE5B5A"/>
    <w:lvl w:ilvl="0" w:tplc="1EF2A86C">
      <w:start w:val="1"/>
      <w:numFmt w:val="bullet"/>
      <w:lvlText w:val="В"/>
      <w:lvlJc w:val="left"/>
    </w:lvl>
    <w:lvl w:ilvl="1" w:tplc="DBF040A2">
      <w:start w:val="1"/>
      <w:numFmt w:val="bullet"/>
      <w:lvlText w:val=""/>
      <w:lvlJc w:val="left"/>
    </w:lvl>
    <w:lvl w:ilvl="2" w:tplc="075EFA02">
      <w:numFmt w:val="decimal"/>
      <w:lvlText w:val=""/>
      <w:lvlJc w:val="left"/>
    </w:lvl>
    <w:lvl w:ilvl="3" w:tplc="D932ED86">
      <w:numFmt w:val="decimal"/>
      <w:lvlText w:val=""/>
      <w:lvlJc w:val="left"/>
    </w:lvl>
    <w:lvl w:ilvl="4" w:tplc="DC2643B8">
      <w:numFmt w:val="decimal"/>
      <w:lvlText w:val=""/>
      <w:lvlJc w:val="left"/>
    </w:lvl>
    <w:lvl w:ilvl="5" w:tplc="418C00C4">
      <w:numFmt w:val="decimal"/>
      <w:lvlText w:val=""/>
      <w:lvlJc w:val="left"/>
    </w:lvl>
    <w:lvl w:ilvl="6" w:tplc="CC14CCBA">
      <w:numFmt w:val="decimal"/>
      <w:lvlText w:val=""/>
      <w:lvlJc w:val="left"/>
    </w:lvl>
    <w:lvl w:ilvl="7" w:tplc="9BE4F7EC">
      <w:numFmt w:val="decimal"/>
      <w:lvlText w:val=""/>
      <w:lvlJc w:val="left"/>
    </w:lvl>
    <w:lvl w:ilvl="8" w:tplc="CA6AFA06">
      <w:numFmt w:val="decimal"/>
      <w:lvlText w:val=""/>
      <w:lvlJc w:val="left"/>
    </w:lvl>
  </w:abstractNum>
  <w:abstractNum w:abstractNumId="4">
    <w:nsid w:val="00007F96"/>
    <w:multiLevelType w:val="hybridMultilevel"/>
    <w:tmpl w:val="841834C0"/>
    <w:lvl w:ilvl="0" w:tplc="05642FD2">
      <w:start w:val="1"/>
      <w:numFmt w:val="bullet"/>
      <w:lvlText w:val="В"/>
      <w:lvlJc w:val="left"/>
    </w:lvl>
    <w:lvl w:ilvl="1" w:tplc="01325056">
      <w:numFmt w:val="decimal"/>
      <w:lvlText w:val=""/>
      <w:lvlJc w:val="left"/>
    </w:lvl>
    <w:lvl w:ilvl="2" w:tplc="4C420232">
      <w:numFmt w:val="decimal"/>
      <w:lvlText w:val=""/>
      <w:lvlJc w:val="left"/>
    </w:lvl>
    <w:lvl w:ilvl="3" w:tplc="A5AE94F0">
      <w:numFmt w:val="decimal"/>
      <w:lvlText w:val=""/>
      <w:lvlJc w:val="left"/>
    </w:lvl>
    <w:lvl w:ilvl="4" w:tplc="49A8133A">
      <w:numFmt w:val="decimal"/>
      <w:lvlText w:val=""/>
      <w:lvlJc w:val="left"/>
    </w:lvl>
    <w:lvl w:ilvl="5" w:tplc="F73C7CBC">
      <w:numFmt w:val="decimal"/>
      <w:lvlText w:val=""/>
      <w:lvlJc w:val="left"/>
    </w:lvl>
    <w:lvl w:ilvl="6" w:tplc="B87CEFFA">
      <w:numFmt w:val="decimal"/>
      <w:lvlText w:val=""/>
      <w:lvlJc w:val="left"/>
    </w:lvl>
    <w:lvl w:ilvl="7" w:tplc="E16A50DE">
      <w:numFmt w:val="decimal"/>
      <w:lvlText w:val=""/>
      <w:lvlJc w:val="left"/>
    </w:lvl>
    <w:lvl w:ilvl="8" w:tplc="CF64C874">
      <w:numFmt w:val="decimal"/>
      <w:lvlText w:val=""/>
      <w:lvlJc w:val="left"/>
    </w:lvl>
  </w:abstractNum>
  <w:abstractNum w:abstractNumId="5">
    <w:nsid w:val="00007FF5"/>
    <w:multiLevelType w:val="hybridMultilevel"/>
    <w:tmpl w:val="B668509A"/>
    <w:lvl w:ilvl="0" w:tplc="B030C3FA">
      <w:start w:val="1"/>
      <w:numFmt w:val="bullet"/>
      <w:lvlText w:val="в"/>
      <w:lvlJc w:val="left"/>
    </w:lvl>
    <w:lvl w:ilvl="1" w:tplc="FE968960">
      <w:numFmt w:val="decimal"/>
      <w:lvlText w:val=""/>
      <w:lvlJc w:val="left"/>
    </w:lvl>
    <w:lvl w:ilvl="2" w:tplc="CDDADE60">
      <w:numFmt w:val="decimal"/>
      <w:lvlText w:val=""/>
      <w:lvlJc w:val="left"/>
    </w:lvl>
    <w:lvl w:ilvl="3" w:tplc="8328F414">
      <w:numFmt w:val="decimal"/>
      <w:lvlText w:val=""/>
      <w:lvlJc w:val="left"/>
    </w:lvl>
    <w:lvl w:ilvl="4" w:tplc="34D2D1E4">
      <w:numFmt w:val="decimal"/>
      <w:lvlText w:val=""/>
      <w:lvlJc w:val="left"/>
    </w:lvl>
    <w:lvl w:ilvl="5" w:tplc="9F1A49B4">
      <w:numFmt w:val="decimal"/>
      <w:lvlText w:val=""/>
      <w:lvlJc w:val="left"/>
    </w:lvl>
    <w:lvl w:ilvl="6" w:tplc="134E187C">
      <w:numFmt w:val="decimal"/>
      <w:lvlText w:val=""/>
      <w:lvlJc w:val="left"/>
    </w:lvl>
    <w:lvl w:ilvl="7" w:tplc="8C623452">
      <w:numFmt w:val="decimal"/>
      <w:lvlText w:val=""/>
      <w:lvlJc w:val="left"/>
    </w:lvl>
    <w:lvl w:ilvl="8" w:tplc="8CC626D0">
      <w:numFmt w:val="decimal"/>
      <w:lvlText w:val=""/>
      <w:lvlJc w:val="left"/>
    </w:lvl>
  </w:abstractNum>
  <w:abstractNum w:abstractNumId="6">
    <w:nsid w:val="2D1B1435"/>
    <w:multiLevelType w:val="multilevel"/>
    <w:tmpl w:val="BCA823EA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9"/>
      <w:numFmt w:val="decimal"/>
      <w:lvlText w:val="%1.%2"/>
      <w:lvlJc w:val="left"/>
      <w:pPr>
        <w:ind w:left="376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8" w:hanging="2160"/>
      </w:pPr>
      <w:rPr>
        <w:rFonts w:eastAsiaTheme="minorHAnsi" w:hint="default"/>
      </w:rPr>
    </w:lvl>
  </w:abstractNum>
  <w:abstractNum w:abstractNumId="7">
    <w:nsid w:val="73375CCC"/>
    <w:multiLevelType w:val="hybridMultilevel"/>
    <w:tmpl w:val="CDD2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E2"/>
    <w:rsid w:val="000A6ED7"/>
    <w:rsid w:val="0023197C"/>
    <w:rsid w:val="00340E33"/>
    <w:rsid w:val="003D2429"/>
    <w:rsid w:val="00452333"/>
    <w:rsid w:val="005A2713"/>
    <w:rsid w:val="00655FE2"/>
    <w:rsid w:val="006E126B"/>
    <w:rsid w:val="00963A91"/>
    <w:rsid w:val="00A05657"/>
    <w:rsid w:val="00AB65F5"/>
    <w:rsid w:val="00B5327B"/>
    <w:rsid w:val="00B87BE9"/>
    <w:rsid w:val="00BF4AA0"/>
    <w:rsid w:val="00C80B87"/>
    <w:rsid w:val="00D45B7D"/>
    <w:rsid w:val="00D5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E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126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PAV</cp:lastModifiedBy>
  <cp:revision>2</cp:revision>
  <cp:lastPrinted>2019-01-09T15:40:00Z</cp:lastPrinted>
  <dcterms:created xsi:type="dcterms:W3CDTF">2019-01-09T13:17:00Z</dcterms:created>
  <dcterms:modified xsi:type="dcterms:W3CDTF">2019-01-09T15:41:00Z</dcterms:modified>
</cp:coreProperties>
</file>